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10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приказу от 25.12.2025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211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Положение о </w:t>
      </w:r>
      <w:r>
        <w:rPr>
          <w:rFonts w:ascii="Times New Roman" w:hAnsi="Times New Roman"/>
          <w:b/>
          <w:sz w:val="28"/>
          <w:szCs w:val="28"/>
        </w:rPr>
        <w:t xml:space="preserve">списании имущества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numPr>
          <w:ilvl w:val="0"/>
          <w:numId w:val="15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Общие положения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</w:t>
      </w:r>
      <w:r>
        <w:rPr>
          <w:rFonts w:ascii="Times New Roman" w:hAnsi="Times New Roman"/>
          <w:sz w:val="28"/>
          <w:szCs w:val="28"/>
        </w:rPr>
        <w:t xml:space="preserve">разработано в соответствии с:</w:t>
      </w:r>
      <w:r>
        <w:rPr>
          <w:rFonts w:ascii="Times New Roman" w:hAnsi="Times New Roman"/>
          <w:sz w:val="28"/>
          <w:szCs w:val="28"/>
        </w:rPr>
      </w:r>
    </w:p>
    <w:p>
      <w:pPr>
        <w:pStyle w:val="31"/>
        <w:numPr>
          <w:ilvl w:val="0"/>
          <w:numId w:val="1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9" w:tooltip="https://gosfinansy.ru/group?groupId=261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Федерального закона от 12.01.1996 № 7-ФЗ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«О некоммерческих организациях»;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31"/>
        <w:numPr>
          <w:ilvl w:val="0"/>
          <w:numId w:val="1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hyperlink r:id="rId10" w:tooltip="https://gosfinansy.ru/group?groupId=21634950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приказа Минфина России от 31.12.2016 № 257н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«Об утверждении федерального стандарта бухгалтерского учета для организаций государственного сектора "Основные средства"»;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31"/>
        <w:numPr>
          <w:ilvl w:val="0"/>
          <w:numId w:val="1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Постановлений Правительства Мурманской области от 13.05.2011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234-ПП «О вопросах списания государственного имущества Мурманской области», от 12.03.2012 № 72-ПП «Об утверждении Положения о порядке оформления продажи государственного имущества Мурманской области» и </w:t>
      </w:r>
      <w:r>
        <w:rPr>
          <w:rFonts w:ascii="Times New Roman" w:hAnsi="Times New Roman"/>
          <w:sz w:val="28"/>
          <w:szCs w:val="28"/>
        </w:rPr>
        <w:t xml:space="preserve">определяет порядок списания государственного имущества Мурманской области, находящего на праве опе</w:t>
      </w:r>
      <w:r>
        <w:rPr>
          <w:rFonts w:ascii="Times New Roman" w:hAnsi="Times New Roman"/>
          <w:sz w:val="28"/>
          <w:szCs w:val="28"/>
        </w:rPr>
        <w:t xml:space="preserve">ративного управления Учреждения</w:t>
      </w:r>
      <w:r>
        <w:rPr>
          <w:rFonts w:ascii="Times New Roman" w:hAnsi="Times New Roman"/>
          <w:sz w:val="28"/>
          <w:szCs w:val="28"/>
        </w:rPr>
        <w:t xml:space="preserve"> (далее – Учреждение, Колледж)</w:t>
      </w:r>
      <w:r>
        <w:rPr>
          <w:rFonts w:ascii="Times New Roman" w:hAnsi="Times New Roman"/>
          <w:sz w:val="28"/>
          <w:szCs w:val="28"/>
        </w:rPr>
        <w:t xml:space="preserve">, относящегося к категории особо ценного имущест</w:t>
      </w:r>
      <w:r>
        <w:rPr>
          <w:rFonts w:ascii="Times New Roman" w:hAnsi="Times New Roman"/>
          <w:sz w:val="28"/>
          <w:szCs w:val="28"/>
        </w:rPr>
        <w:t xml:space="preserve">ва и иного движимого имущества.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72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настоящем Положении под списанием государственного имущества Мурманской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понимается комплекс действий, связанных с признанием государственного имущества непригодным для дальнейшего использования по целевому назначению и (или) распоряжению вследствие</w:t>
      </w:r>
      <w:r>
        <w:rPr>
          <w:rFonts w:ascii="Times New Roman" w:hAnsi="Times New Roman"/>
          <w:sz w:val="28"/>
          <w:szCs w:val="28"/>
        </w:rPr>
        <w:t xml:space="preserve"> полной или частичной утраты потребительских свойств, в том числе физического или морального износа, либо выбывшим из владения, пользования и распоряжения вследствие гибели или уничтожения, а также вследствие невозможности установления его местонахождения.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Объектами государственного имущества Мурманской области (далее – Имущество), является имущество, учитываемое в реестре государственного имущества Мурманской области.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списании Имущества </w:t>
      </w:r>
      <w:r>
        <w:rPr>
          <w:rFonts w:ascii="Times New Roman" w:hAnsi="Times New Roman"/>
          <w:sz w:val="28"/>
          <w:szCs w:val="28"/>
        </w:rPr>
        <w:t xml:space="preserve">принимается органом исполнительной власти, осуществляющим полномочия собственника в отношении областного имущества (далее – </w:t>
      </w:r>
      <w:r>
        <w:rPr>
          <w:rFonts w:ascii="Times New Roman" w:hAnsi="Times New Roman"/>
          <w:sz w:val="28"/>
          <w:szCs w:val="28"/>
        </w:rPr>
        <w:t xml:space="preserve">Учредитель</w:t>
      </w:r>
      <w:r>
        <w:rPr>
          <w:rFonts w:ascii="Times New Roman" w:hAnsi="Times New Roman"/>
          <w:sz w:val="28"/>
          <w:szCs w:val="28"/>
        </w:rPr>
        <w:t xml:space="preserve">), н</w:t>
      </w:r>
      <w:r>
        <w:rPr>
          <w:rFonts w:ascii="Times New Roman" w:hAnsi="Times New Roman"/>
          <w:sz w:val="28"/>
          <w:szCs w:val="28"/>
        </w:rPr>
        <w:t xml:space="preserve">а основании акта о списании основного средства (далее – Акт), подготовленного постоянно действующей комиссией Учреждения, уполномоченной на подготовку документов по списанию основных средств (далее – Комиссия), и иных представленных Учреждением документов.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получения Учреждением разрешения </w:t>
      </w:r>
      <w:r>
        <w:rPr>
          <w:rFonts w:ascii="Times New Roman" w:hAnsi="Times New Roman"/>
          <w:sz w:val="28"/>
          <w:szCs w:val="28"/>
        </w:rPr>
        <w:t xml:space="preserve">Учредителя</w:t>
      </w:r>
      <w:r>
        <w:rPr>
          <w:rFonts w:ascii="Times New Roman" w:hAnsi="Times New Roman"/>
          <w:sz w:val="28"/>
          <w:szCs w:val="28"/>
        </w:rPr>
        <w:t xml:space="preserve"> на списание Имущества, решение о его списании принимается </w:t>
      </w:r>
      <w:r>
        <w:rPr>
          <w:rFonts w:ascii="Times New Roman" w:hAnsi="Times New Roman"/>
          <w:sz w:val="28"/>
          <w:szCs w:val="28"/>
        </w:rPr>
        <w:t xml:space="preserve">руководителем</w:t>
      </w:r>
      <w:r>
        <w:rPr>
          <w:rFonts w:ascii="Times New Roman" w:hAnsi="Times New Roman"/>
          <w:sz w:val="28"/>
          <w:szCs w:val="28"/>
        </w:rPr>
        <w:t xml:space="preserve"> учреждения, в пределах полномочий, установленных </w:t>
      </w:r>
      <w:r>
        <w:rPr>
          <w:rFonts w:ascii="Times New Roman" w:hAnsi="Times New Roman"/>
          <w:sz w:val="28"/>
          <w:szCs w:val="28"/>
        </w:rPr>
        <w:t xml:space="preserve">Учредителю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списании Имущества с баланса Учреждения производится его</w:t>
      </w:r>
      <w:r>
        <w:rPr>
          <w:rFonts w:ascii="Times New Roman" w:hAnsi="Times New Roman"/>
          <w:sz w:val="28"/>
          <w:szCs w:val="28"/>
        </w:rPr>
        <w:t xml:space="preserve"> оценка либо</w:t>
      </w:r>
      <w:r>
        <w:rPr>
          <w:rFonts w:ascii="Times New Roman" w:hAnsi="Times New Roman"/>
          <w:sz w:val="28"/>
          <w:szCs w:val="28"/>
        </w:rPr>
        <w:t xml:space="preserve"> техническая экспертиза</w:t>
      </w:r>
      <w:r>
        <w:rPr>
          <w:rFonts w:ascii="Times New Roman" w:hAnsi="Times New Roman"/>
          <w:sz w:val="28"/>
          <w:szCs w:val="28"/>
        </w:rPr>
        <w:t xml:space="preserve">. Оценка имущества производится независимым оценщиком,</w:t>
      </w:r>
      <w:r>
        <w:rPr>
          <w:rFonts w:ascii="Times New Roman" w:hAnsi="Times New Roman"/>
          <w:sz w:val="28"/>
          <w:szCs w:val="28"/>
        </w:rPr>
        <w:t xml:space="preserve"> действующим в соответствии с Федеральным законом от 29.07.1998 № 135-ФЗ «Об оценочной деятельности в Российской Федерации» с приложением копий документов, разрешающих заниматься оценочной деятельностью.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ехническая экспертиза – независимым экспертом</w:t>
      </w:r>
      <w:r>
        <w:rPr>
          <w:rFonts w:ascii="Times New Roman" w:hAnsi="Times New Roman"/>
          <w:sz w:val="28"/>
          <w:szCs w:val="28"/>
        </w:rPr>
        <w:t xml:space="preserve"> (индивидуальный предприниматель или юридическое лицо, имеющим лицензии на данный вид деятельности, с приложением копии лицензии)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Списание Имущества производится по фактической стоимости его приобретения, изготовления, с учетом начисленной амортизации. Безвозмездно полученное Имущество списывается по рыночной стоимости, с учетом начисленной амортизации.</w:t>
      </w:r>
      <w:r>
        <w:rPr>
          <w:rFonts w:ascii="Times New Roman" w:hAnsi="Times New Roman"/>
          <w:sz w:val="28"/>
          <w:szCs w:val="28"/>
        </w:rPr>
      </w:r>
    </w:p>
    <w:p>
      <w:pPr>
        <w:pStyle w:val="31"/>
        <w:numPr>
          <w:ilvl w:val="1"/>
          <w:numId w:val="15"/>
        </w:numPr>
        <w:ind w:right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Решение о списании основных средств принимается, если имущество непригодно для дальнейшего использования по назначению по причине: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31"/>
        <w:numPr>
          <w:ilvl w:val="0"/>
          <w:numId w:val="19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физического или морального износа, в том числе вследствие полной или частичной утраты потребительских свойств;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31"/>
        <w:numPr>
          <w:ilvl w:val="0"/>
          <w:numId w:val="19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недостачи или порчи, выявленных при инвентаризации;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31"/>
        <w:numPr>
          <w:ilvl w:val="0"/>
          <w:numId w:val="19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других случаев, предусмотренных законодательством.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Списание по данным основаниям производится только в тех случаях, когда восстановление имущества невозможно или экономически нецелесообразно.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Истечение срока полезного использования основного средства или начисление по нему амортизации в размере 100 процентов не является основанием для его списания, если по техническому состоянию или после проведения ремонта оно может быть использовано по своему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 прямому назначению: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31"/>
        <w:numPr>
          <w:ilvl w:val="0"/>
          <w:numId w:val="20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при передаче в установленном порядке для использования другим организациям;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31"/>
        <w:numPr>
          <w:ilvl w:val="0"/>
          <w:numId w:val="20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при реализации.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Arial" w:hAnsi="Arial" w:eastAsia="Arial" w:cs="Arial"/>
          <w:sz w:val="21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Полномочиями по списанию имущества обладает комиссия по поступлению и выбытию активов (далее - Комиссия).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осуществляет следующие полномочия:</w:t>
      </w:r>
      <w:r>
        <w:rPr>
          <w:rFonts w:ascii="Times New Roman" w:hAnsi="Times New Roman"/>
          <w:sz w:val="28"/>
          <w:szCs w:val="28"/>
        </w:rPr>
      </w:r>
    </w:p>
    <w:p>
      <w:pPr>
        <w:ind w:left="709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- осматривает государственное имущество Мурманской области, подлежащее списанию, с учетом данных, содержащихся в учетно-технической и иной документации;</w:t>
      </w:r>
      <w:r>
        <w:rPr>
          <w:rFonts w:ascii="Times New Roman" w:hAnsi="Times New Roman"/>
          <w:sz w:val="28"/>
          <w:szCs w:val="28"/>
        </w:rPr>
      </w:r>
      <w:r>
        <w:rPr>
          <w:rFonts w:ascii="Arial" w:hAnsi="Arial" w:eastAsia="Arial" w:cs="Arial"/>
          <w:sz w:val="21"/>
        </w:rPr>
      </w:r>
    </w:p>
    <w:p>
      <w:pPr>
        <w:pStyle w:val="649"/>
        <w:ind w:left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принимает </w:t>
      </w:r>
      <w:r>
        <w:rPr>
          <w:rFonts w:ascii="Times New Roman" w:hAnsi="Times New Roman"/>
          <w:sz w:val="28"/>
          <w:szCs w:val="28"/>
        </w:rPr>
        <w:t xml:space="preserve">решение по вопросу о целесообразности (пригодности) дальнейшего использования государственного имущества Мурманской области, о возможности и эффективности его восстановления, возможности использования отдельных узлов, конструкций и материалов от имущества;</w:t>
      </w:r>
      <w:r>
        <w:rPr>
          <w:rFonts w:ascii="Times New Roman" w:hAnsi="Times New Roman"/>
          <w:sz w:val="28"/>
          <w:szCs w:val="28"/>
        </w:rPr>
      </w:r>
    </w:p>
    <w:p>
      <w:pPr>
        <w:ind w:left="709" w:right="0" w:firstLine="0"/>
        <w:jc w:val="both"/>
        <w:shd w:val="clear" w:color="ffffff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- устанавливает причины списания государственного имущества Мурманской области, в числе которых физиче</w:t>
      </w:r>
      <w:r>
        <w:rPr>
          <w:rFonts w:ascii="Times New Roman" w:hAnsi="Times New Roman"/>
          <w:sz w:val="28"/>
          <w:szCs w:val="28"/>
        </w:rPr>
        <w:t xml:space="preserve">ский и (или) моральный износ, нарушение условий содержания и (или) эксплуатации, аварии, стихийные бедствия и иные чрезвычайные ситуации, длительное неиспользование для управленческих нужд и иные причины, которые привели к необходимости списания имущества;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ри необходимости выявляет лиц, по вине которых произошло преждевременное выбытие основных средств из эксплуатации, вносит предложения о привлечении этих лиц к ответственности, установленной действующим законодательством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31"/>
        <w:numPr>
          <w:ilvl w:val="0"/>
          <w:numId w:val="23"/>
        </w:numPr>
        <w:ind w:left="709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если по результатам инвентаризации выявлено имущество, не соответствующее критериям активов, комиссия по поступлению и выбытию активов составляет решение о признании основного средства не соответствующим критериям актива (</w:t>
      </w:r>
      <w:hyperlink r:id="rId11" w:tooltip="https://gosfinansy.ru/group?groupId=84649983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0510440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709" w:right="0" w:hanging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Если объекта фактически нет, комиссия учреждения оформляет акт о списании основных средств по унифицированной форме. Решение (</w:t>
      </w:r>
      <w:hyperlink r:id="rId12" w:tooltip="https://gosfinansy.ru/group?groupId=84649983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0510440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 не оформляется.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709" w:right="0" w:hanging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Если в решении (</w:t>
      </w:r>
      <w:hyperlink r:id="rId13" w:tooltip="https://gosfinansy.ru/group?groupId=84649983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0510440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 указана резолюция комиссии списать объект, то после утверждения этого решения руководителем, комиссия сразу формирует акт о списании основного средства по унифицированной форме. Акт о списании подписывается Комиссией и утверждается руководителем.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Объект списывается на забалансовый счет 02.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709" w:right="0" w:firstLine="70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После утверждения акта о списании реализуются мероприятия, предусмотренные в акте: разборка, демонтаж, уничтожение, утилизация основных средств. Реализация таких мероприятий осуществляется комиссией самостоятельно либо с привлечением 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оронних организаций на основании заключенного договора.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709" w:right="0" w:firstLine="70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результатам утилизации комиссия по поступлению и выбытию активов оформляет акт об утилизации (</w:t>
      </w:r>
      <w:hyperlink r:id="rId14" w:tooltip="https://gosfinansy.ru/group?groupId=89950238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0510435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 На основании акта об утилизации отражается выбытие основного средства с забалансового счета 02;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709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  <w:r>
        <w:rPr>
          <w:rFonts w:ascii="Arial" w:hAnsi="Arial" w:eastAsia="Arial" w:cs="Arial"/>
          <w:sz w:val="21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/>
      <w:r>
        <w:rPr>
          <w:rFonts w:ascii="Arial" w:hAnsi="Arial" w:eastAsia="Arial" w:cs="Arial"/>
          <w:sz w:val="21"/>
        </w:rPr>
      </w:r>
      <w:r>
        <w:rPr>
          <w:rFonts w:ascii="Times New Roman" w:hAnsi="Times New Roman"/>
          <w:sz w:val="28"/>
          <w:szCs w:val="28"/>
        </w:rPr>
        <w:t xml:space="preserve">- подготавливает акт о списании государственного имущества Мурманской области (далее – акт о списании) в зависимости от вида списывае</w:t>
      </w:r>
      <w:r>
        <w:rPr>
          <w:rFonts w:ascii="Times New Roman" w:hAnsi="Times New Roman"/>
          <w:sz w:val="28"/>
          <w:szCs w:val="28"/>
        </w:rPr>
        <w:t xml:space="preserve">мого имущества, составленный в соответствии с утвержденными унифицированными формами первичной учетной документации по учету основных средств, содержащий обязательные реквизиты, установленные законодательством РФ, и включающий компетентные выводы комиссии;</w:t>
      </w:r>
      <w:r>
        <w:rPr>
          <w:rFonts w:ascii="Times New Roman" w:hAnsi="Times New Roman"/>
          <w:sz w:val="28"/>
          <w:szCs w:val="28"/>
        </w:rPr>
      </w:r>
      <w:r>
        <w:rPr>
          <w:rFonts w:ascii="Arial" w:hAnsi="Arial" w:eastAsia="Arial" w:cs="Arial"/>
          <w:sz w:val="21"/>
        </w:rPr>
      </w:r>
      <w:r>
        <w:rPr>
          <w:rFonts w:ascii="Arial" w:hAnsi="Arial" w:eastAsia="Arial" w:cs="Arial"/>
          <w:sz w:val="21"/>
        </w:rPr>
      </w:r>
    </w:p>
    <w:p>
      <w:pPr>
        <w:pStyle w:val="649"/>
        <w:ind w:left="709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пакет документов в соответствии с п. </w:t>
      </w:r>
      <w:r>
        <w:rPr>
          <w:rFonts w:ascii="Times New Roman" w:hAnsi="Times New Roman"/>
          <w:sz w:val="28"/>
          <w:szCs w:val="28"/>
        </w:rPr>
        <w:t xml:space="preserve">3 Положения.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Материально-ответственные лица </w:t>
      </w:r>
      <w:r>
        <w:rPr>
          <w:rFonts w:ascii="Times New Roman" w:hAnsi="Times New Roman"/>
          <w:sz w:val="28"/>
          <w:szCs w:val="28"/>
        </w:rPr>
        <w:t xml:space="preserve"> Учреждения вправе обратиться в Комиссию с обоснованной просьбой о списании Имущества, закрепленного </w:t>
      </w:r>
      <w:r>
        <w:rPr>
          <w:rFonts w:ascii="Times New Roman" w:hAnsi="Times New Roman"/>
          <w:sz w:val="28"/>
          <w:szCs w:val="28"/>
        </w:rPr>
        <w:t xml:space="preserve">за ним</w:t>
      </w:r>
      <w:r>
        <w:rPr>
          <w:rFonts w:ascii="Times New Roman" w:hAnsi="Times New Roman"/>
          <w:sz w:val="28"/>
          <w:szCs w:val="28"/>
        </w:rPr>
        <w:t xml:space="preserve">, в виде </w:t>
      </w:r>
      <w:r>
        <w:rPr>
          <w:rFonts w:ascii="Times New Roman" w:hAnsi="Times New Roman"/>
          <w:sz w:val="28"/>
          <w:szCs w:val="28"/>
        </w:rPr>
        <w:t xml:space="preserve">заявления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Срок рассмотрения комиссией представленных ей документов не должен превышать 14 дней.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r>
        <w:rPr>
          <w:rFonts w:ascii="Times New Roman" w:hAnsi="Times New Roman"/>
          <w:sz w:val="28"/>
          <w:szCs w:val="28"/>
        </w:rPr>
        <w:t xml:space="preserve">заявления</w:t>
      </w:r>
      <w:r>
        <w:rPr>
          <w:rFonts w:ascii="Times New Roman" w:hAnsi="Times New Roman"/>
          <w:sz w:val="28"/>
          <w:szCs w:val="28"/>
        </w:rPr>
        <w:t xml:space="preserve"> Комиссия: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производит осмотр Имущества, подлежащего списанию, изучает его техническую документацию, данные бухгалтерского учета, иные документы, составляет акт о </w:t>
      </w:r>
      <w:r>
        <w:rPr>
          <w:rFonts w:ascii="Times New Roman" w:hAnsi="Times New Roman"/>
          <w:sz w:val="28"/>
          <w:szCs w:val="28"/>
        </w:rPr>
        <w:t xml:space="preserve">выявленных дефектах и дает заключение о возможности использования Учреждением Имущества по назначению;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случае невозможности (нецелесообразности) использования Имущества по назначению определяет причины списания Имущества;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привлекает для оценки Имущества независимого оценщика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либо</w:t>
      </w:r>
      <w:r>
        <w:rPr>
          <w:rFonts w:ascii="Times New Roman" w:hAnsi="Times New Roman"/>
          <w:sz w:val="28"/>
          <w:szCs w:val="28"/>
        </w:rPr>
        <w:t xml:space="preserve">, в случае отсутствия у организации работников, обладающих специальными знаниями, для участия в заседаниях комиссии могут приглашаться </w:t>
      </w:r>
      <w:r>
        <w:rPr>
          <w:rFonts w:ascii="Times New Roman" w:hAnsi="Times New Roman"/>
          <w:sz w:val="28"/>
          <w:szCs w:val="28"/>
        </w:rPr>
        <w:t xml:space="preserve">эксперт</w:t>
      </w:r>
      <w:r>
        <w:rPr>
          <w:rFonts w:ascii="Times New Roman" w:hAnsi="Times New Roman"/>
          <w:sz w:val="28"/>
          <w:szCs w:val="28"/>
        </w:rPr>
        <w:t xml:space="preserve">ы, которые включаются в состав комиссии на добровольной основе.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зависимости от принятого Уполномоченным органом решения осуществляет контроль утилизации, либо продажи, либо передачи Имущества с баланса на баланс (передача Имущества только по решению Уполномоченного органа).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Оформленный комиссией акт о списании утверждается </w:t>
      </w:r>
      <w:r>
        <w:rPr>
          <w:rFonts w:ascii="Times New Roman" w:hAnsi="Times New Roman"/>
          <w:sz w:val="28"/>
          <w:szCs w:val="28"/>
        </w:rPr>
        <w:t xml:space="preserve">руководителем</w:t>
      </w:r>
      <w:r>
        <w:rPr>
          <w:rFonts w:ascii="Times New Roman" w:hAnsi="Times New Roman"/>
          <w:sz w:val="28"/>
          <w:szCs w:val="28"/>
        </w:rPr>
        <w:t xml:space="preserve"> Колледжа самостоятельно в отношении иного движимого имущества, в отношении особо ценного имущества – только после согласования с Учредителем.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. Первичные документы по списанию Имущества.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.1. По результатам заседания Комиссии составляется акт о списании основных средств (далее – Акт) по унифицированным формам.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акте указываются: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сведения, характеризующие Имущество: наименование, год выпуска (постройки), дата поступления в У</w:t>
      </w:r>
      <w:r>
        <w:rPr>
          <w:rFonts w:ascii="Times New Roman" w:hAnsi="Times New Roman"/>
          <w:sz w:val="28"/>
          <w:szCs w:val="28"/>
        </w:rPr>
        <w:t xml:space="preserve">чр</w:t>
      </w:r>
      <w:r>
        <w:rPr>
          <w:rFonts w:ascii="Times New Roman" w:hAnsi="Times New Roman"/>
          <w:sz w:val="28"/>
          <w:szCs w:val="28"/>
        </w:rPr>
        <w:t xml:space="preserve">еждение, дата ввода в эксплуатацию, срок полезного использования, первоначальная (балансовая) стоимость</w:t>
      </w:r>
      <w:r>
        <w:rPr>
          <w:rFonts w:ascii="Times New Roman" w:hAnsi="Times New Roman"/>
          <w:sz w:val="28"/>
          <w:szCs w:val="28"/>
        </w:rPr>
        <w:t xml:space="preserve"> объекта (для переоцененных – восстановительная), сумма начисленного износа по данным бухгалтерского учета, проведенные ремонты, сведения о наличии драгоценных материалов (металлов, камней);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инвентарный номер списываемого Имущества, учитывая, что инвентарные номера списанного с бюджетного учета Имущества не присваиваются вновь принятому к бюджетному учету Имуществу;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причина списания имущества, с обоснованием причин нецелесообразности использования и невозможности восстановления, состояние составных частей и материалов списываемого Имущества;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</w:t>
      </w:r>
      <w:r>
        <w:rPr>
          <w:rFonts w:ascii="Times New Roman" w:hAnsi="Times New Roman"/>
          <w:sz w:val="28"/>
          <w:szCs w:val="28"/>
        </w:rPr>
        <w:t xml:space="preserve"> списании транспортного средства: марка и модель транспортного средства, причина списания, материально-ответственное лицо, сведения о техническом состоянии транспортного средства на дату списания, сведения о стоимости транспортного средства на дату списани</w:t>
      </w:r>
      <w:r>
        <w:rPr>
          <w:rFonts w:ascii="Times New Roman" w:hAnsi="Times New Roman"/>
          <w:sz w:val="28"/>
          <w:szCs w:val="28"/>
        </w:rPr>
        <w:t xml:space="preserve">я с бухгалтерского учета, сведения о принятии к бухгалтерскому учету демонтированных основных деталей и узлов, сведения о затратах, связанных со списанием транспортного средства с бухгалтерского учета, и о поступлении материальных ценностей от их списания;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списании иного Имущества (кроме транспортных средств</w:t>
      </w:r>
      <w:r>
        <w:rPr>
          <w:rFonts w:ascii="Times New Roman" w:hAnsi="Times New Roman"/>
          <w:sz w:val="28"/>
          <w:szCs w:val="28"/>
        </w:rPr>
        <w:t xml:space="preserve">):</w:t>
      </w:r>
      <w:r>
        <w:rPr>
          <w:rFonts w:ascii="Times New Roman" w:hAnsi="Times New Roman"/>
          <w:sz w:val="28"/>
          <w:szCs w:val="28"/>
        </w:rPr>
        <w:t xml:space="preserve"> основания для составления акта, материально-ответственное лицо, причина списания, сведения о состоянии объекта и о поступлении материальных ценностей от их списания.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.2. Разборка и демонтаж Имущества до утверждения актов о его списании Уполномоченным органом не допускается.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.3. При списании Имущества, выбывшего вследствие аварии, к Акту прилагается копия акта об аварии.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.4. Акт подписывается членами Комиссии и утверждается руководителем Учреждения.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Перечень документов, необходимых для списания утвержден в Графике документооборота, который утверждается отдельным приказом руководителя.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</w:t>
      </w:r>
      <w:r>
        <w:rPr>
          <w:rFonts w:ascii="Times New Roman" w:hAnsi="Times New Roman"/>
          <w:b/>
          <w:sz w:val="28"/>
          <w:szCs w:val="28"/>
        </w:rPr>
        <w:t xml:space="preserve">. Порядок оформления разр</w:t>
      </w:r>
      <w:r>
        <w:rPr>
          <w:rFonts w:ascii="Times New Roman" w:hAnsi="Times New Roman"/>
          <w:b/>
          <w:sz w:val="28"/>
          <w:szCs w:val="28"/>
        </w:rPr>
        <w:t xml:space="preserve">ешения на списание И</w:t>
      </w:r>
      <w:r>
        <w:rPr>
          <w:rFonts w:ascii="Times New Roman" w:hAnsi="Times New Roman"/>
          <w:b/>
          <w:sz w:val="28"/>
          <w:szCs w:val="28"/>
        </w:rPr>
        <w:t xml:space="preserve">мущества.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получения разрешения о спи</w:t>
      </w:r>
      <w:r>
        <w:rPr>
          <w:rFonts w:ascii="Times New Roman" w:hAnsi="Times New Roman"/>
          <w:sz w:val="28"/>
          <w:szCs w:val="28"/>
        </w:rPr>
        <w:t xml:space="preserve">сании Учреждение представляет Учредителю </w:t>
      </w:r>
      <w:r>
        <w:rPr>
          <w:rFonts w:ascii="Times New Roman" w:hAnsi="Times New Roman"/>
          <w:sz w:val="28"/>
          <w:szCs w:val="28"/>
        </w:rPr>
        <w:t xml:space="preserve">следующие документы: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обращение руководителя Учреждения, содержащее предложение о возможности дальнейшего использования Имущества и обоснование необходи</w:t>
      </w:r>
      <w:r>
        <w:rPr>
          <w:rFonts w:ascii="Times New Roman" w:hAnsi="Times New Roman"/>
          <w:sz w:val="28"/>
          <w:szCs w:val="28"/>
        </w:rPr>
        <w:t xml:space="preserve">мости распоряжения списываемым И</w:t>
      </w:r>
      <w:r>
        <w:rPr>
          <w:rFonts w:ascii="Times New Roman" w:hAnsi="Times New Roman"/>
          <w:sz w:val="28"/>
          <w:szCs w:val="28"/>
        </w:rPr>
        <w:t xml:space="preserve">муществом указанным способом;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перечень Имущества, п</w:t>
      </w:r>
      <w:r>
        <w:rPr>
          <w:rFonts w:ascii="Times New Roman" w:hAnsi="Times New Roman"/>
          <w:sz w:val="28"/>
          <w:szCs w:val="28"/>
        </w:rPr>
        <w:t xml:space="preserve">редлагаемого к</w:t>
      </w:r>
      <w:r>
        <w:rPr>
          <w:rFonts w:ascii="Times New Roman" w:hAnsi="Times New Roman"/>
          <w:sz w:val="28"/>
          <w:szCs w:val="28"/>
        </w:rPr>
        <w:t xml:space="preserve"> списанию, </w:t>
      </w:r>
      <w:r>
        <w:rPr>
          <w:rFonts w:ascii="Times New Roman" w:hAnsi="Times New Roman"/>
          <w:sz w:val="28"/>
          <w:szCs w:val="28"/>
        </w:rPr>
        <w:t xml:space="preserve">включающий наименование объектов, инвентарные номера, первоначальную (восстановительную) и остаточную стоимость (перечень должен быть заверен подписями руководителя, главного бухгалтера и скреплен печатью организации)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заверенную копию приказа о создании Учреждением постоянно действующей комиссии по подготовке к списанию имущества;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утвержденные руководителем Учреждения акты о списании;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заверенную Учреждением копию заключения о техническом состоянии каждого объекта имущества, подтверждающего его непригодность к дальнейшему использованию</w:t>
      </w:r>
      <w:r>
        <w:rPr>
          <w:rFonts w:ascii="Times New Roman" w:hAnsi="Times New Roman"/>
          <w:sz w:val="28"/>
          <w:szCs w:val="28"/>
        </w:rPr>
        <w:t xml:space="preserve"> (при отсутствии соответствующих специалистов в</w:t>
      </w:r>
      <w:r>
        <w:rPr>
          <w:rFonts w:ascii="Times New Roman" w:hAnsi="Times New Roman"/>
          <w:sz w:val="28"/>
          <w:szCs w:val="28"/>
        </w:rPr>
        <w:t xml:space="preserve"> штате организации – копию указанного заключения, выданного индивидуальному предпринимателю или юридическому лицу, имеющим лицензии на данный вид деятельности, с приложением копий лицензии, если данный вид деятельности подлежит обязательному лицензированию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заверенную Учреждением копию протокола заседания комиссии;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обращении за согла</w:t>
      </w:r>
      <w:r>
        <w:rPr>
          <w:rFonts w:ascii="Times New Roman" w:hAnsi="Times New Roman"/>
          <w:sz w:val="28"/>
          <w:szCs w:val="28"/>
        </w:rPr>
        <w:t xml:space="preserve">сованием списания транспортных средств вместе с документами, указанными в данном разделе, Учреждение дополнительно предоставляет заверенную копию отчета об определении рыночной стоимости транспортного средства, составленного независимым оценщиком, не ранее</w:t>
      </w:r>
      <w:r>
        <w:rPr>
          <w:rFonts w:ascii="Times New Roman" w:hAnsi="Times New Roman"/>
          <w:sz w:val="28"/>
          <w:szCs w:val="28"/>
        </w:rPr>
        <w:t xml:space="preserve"> 6 месяцев до обращения </w:t>
      </w:r>
      <w:r>
        <w:rPr>
          <w:rFonts w:ascii="Times New Roman" w:hAnsi="Times New Roman"/>
          <w:sz w:val="28"/>
          <w:szCs w:val="28"/>
        </w:rPr>
        <w:t xml:space="preserve">к Учредителю.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отчета должны содержать сведения о нецелесообр</w:t>
      </w:r>
      <w:r>
        <w:rPr>
          <w:rFonts w:ascii="Times New Roman" w:hAnsi="Times New Roman"/>
          <w:sz w:val="28"/>
          <w:szCs w:val="28"/>
        </w:rPr>
        <w:t xml:space="preserve">азности (целесообразности) восст</w:t>
      </w:r>
      <w:r>
        <w:rPr>
          <w:rFonts w:ascii="Times New Roman" w:hAnsi="Times New Roman"/>
          <w:sz w:val="28"/>
          <w:szCs w:val="28"/>
        </w:rPr>
        <w:t xml:space="preserve">ановления транспортного средства с указанием стоимости затрат на восстановление и рыночной </w:t>
      </w:r>
      <w:r>
        <w:rPr>
          <w:rFonts w:ascii="Times New Roman" w:hAnsi="Times New Roman"/>
          <w:sz w:val="28"/>
          <w:szCs w:val="28"/>
        </w:rPr>
        <w:t xml:space="preserve">стоимости при продаже транспортного средства без восстановительного ремонта и в случае проведения восстановительного ремонта.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 обращении о согласовании списания объектов недвижимого имущества, в том числе объектов, строительство которых не завершено, </w:t>
      </w:r>
      <w:r>
        <w:rPr>
          <w:rFonts w:ascii="Times New Roman" w:hAnsi="Times New Roman"/>
          <w:sz w:val="28"/>
          <w:szCs w:val="28"/>
        </w:rPr>
        <w:t xml:space="preserve">дополнительно предоставляе</w:t>
      </w:r>
      <w:r>
        <w:rPr>
          <w:rFonts w:ascii="Times New Roman" w:hAnsi="Times New Roman"/>
          <w:sz w:val="28"/>
          <w:szCs w:val="28"/>
        </w:rPr>
        <w:t xml:space="preserve">тся: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справка об отсутствии обременения объекта, предлагаемого к списанию;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справка об отсутствии зарегистрированных граждан по месту нахождения объекта (при списании объекта жилищного фонда;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копия правоустанавливающего и правоудостоверяющего документа на земельный участок и объект недвижимого имущества, кадастровый паспорт земельного участка и объекта недвижимого имущества, предлагаемого для списания;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информационное письмо о дальнейшем использовании земельного участка, а в случае отсутствия вариантов дальнейшего использования земельного участка  или его части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 зависимости от его принадлежности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копия заявления Учреждения в орган местного с</w:t>
      </w:r>
      <w:r>
        <w:rPr>
          <w:rFonts w:ascii="Times New Roman" w:hAnsi="Times New Roman"/>
          <w:sz w:val="28"/>
          <w:szCs w:val="28"/>
        </w:rPr>
        <w:t xml:space="preserve">амоуправления либо заявление в М</w:t>
      </w:r>
      <w:r>
        <w:rPr>
          <w:rFonts w:ascii="Times New Roman" w:hAnsi="Times New Roman"/>
          <w:sz w:val="28"/>
          <w:szCs w:val="28"/>
        </w:rPr>
        <w:t xml:space="preserve">инистерство имущественных отношений Мурманской области о прекращении права пользования земельным участком.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 обращении о согласовании списания имущества, пришедшего в негодность в результате аварий, стихийных бедствий или иных чрезвычайных обстоятельств</w:t>
      </w:r>
      <w:r>
        <w:rPr>
          <w:rFonts w:ascii="Times New Roman" w:hAnsi="Times New Roman"/>
          <w:sz w:val="28"/>
          <w:szCs w:val="28"/>
        </w:rPr>
        <w:t xml:space="preserve">, дополнительно предоставляется: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копия заключения специализированной организации о причиненных повреждениях;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письменное подтверждение администрации муниципального образования по месту нахождения имущества о факте аварии, стихийного бедствия или иного чрезвычайного обстоятельства;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справка Учреждения о стоимости   нанесенного ущерба.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 обращении о согласовании списания Имущества, по которому срок фактической эксплуатации не превышает срока полезного использования, дополнительно предоставляется: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акт проверки, проведенной Учреждением, о ненадлежащем использовании (хранении) объектов с указанием виновных лиц;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информация о принятых мерах в отношении виновных лиц, допустивших повреждение объектов, с приложением копий подтверждающих документов (в случае выявления виновных лиц);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копия постановления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возбуждении или прекращении уголовного дела (при его наличии);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справка </w:t>
      </w:r>
      <w:r>
        <w:rPr>
          <w:rFonts w:ascii="Times New Roman" w:hAnsi="Times New Roman"/>
          <w:sz w:val="28"/>
          <w:szCs w:val="28"/>
        </w:rPr>
        <w:t xml:space="preserve">Учреждения</w:t>
      </w:r>
      <w:r>
        <w:rPr>
          <w:rFonts w:ascii="Times New Roman" w:hAnsi="Times New Roman"/>
          <w:sz w:val="28"/>
          <w:szCs w:val="28"/>
        </w:rPr>
        <w:t xml:space="preserve"> о стоимости нанесенного ущерба;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справка Учреждения о возмещении ущерба виновными лицами;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пояснительная записка Учреждения, содержащая подробную информацию о причинах, вызвавших списание объектов до истечения срока полезного использования(в случае отсутствия виновных лиц).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</w:t>
      </w:r>
      <w:r>
        <w:rPr>
          <w:rFonts w:ascii="Times New Roman" w:hAnsi="Times New Roman"/>
          <w:b/>
          <w:sz w:val="28"/>
          <w:szCs w:val="28"/>
        </w:rPr>
        <w:t xml:space="preserve">. Порядок выполнения мероприятий по списанию Имущества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после получения согласия на списание имущества в соответствующие сроки осуществляют списание этого имущества, в том числе: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.1. Проводит мероприятия по ликвидации (утилизации) списанного имущества самостоятельно либо с привлечением третьих лиц на основании заключенного договора.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.2. Оформляет прекращение соответствующего права на земельный участок (часть земельного участка).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.3. Обеспечивает внесение изменений в Единый государственный реестр прав на недвижимое имущество и сделок с ним.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.4. В установленном порядке отражает выбытие Имущества в связи с его списанием в бухгалтерском (бюджетном) учете Учреждения на основании приказа руководителя Учреждения.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</w:t>
      </w:r>
      <w:r>
        <w:rPr>
          <w:rFonts w:ascii="Times New Roman" w:hAnsi="Times New Roman"/>
          <w:b/>
          <w:sz w:val="28"/>
          <w:szCs w:val="28"/>
        </w:rPr>
        <w:t xml:space="preserve">. Состав документов, предоставляемых после завершения мероприятий по списанию Имущества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завершения мероприятий по списанию имущества Учреждение предоставляет в Министерство имущественных отношений Мурманской области: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утвержденные</w:t>
      </w:r>
      <w:r>
        <w:rPr>
          <w:rFonts w:ascii="Times New Roman" w:hAnsi="Times New Roman"/>
          <w:sz w:val="28"/>
          <w:szCs w:val="28"/>
        </w:rPr>
        <w:t xml:space="preserve"> руководителем акты о списании;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документы, дающие основания для исключения списанного имущества из реестра государственного имущества Мурманской области в соответствии с порядком, установленным Постановлением Губернатора Мурманской области от 22.04.1999 № 165-ПГ «Об</w:t>
      </w:r>
      <w:r>
        <w:rPr>
          <w:rFonts w:ascii="Times New Roman" w:hAnsi="Times New Roman"/>
          <w:sz w:val="28"/>
          <w:szCs w:val="28"/>
        </w:rPr>
        <w:t xml:space="preserve"> организации учета и ведения реестра государственного имущества Мурманской области», и порядком, установленным Постановлением Правительства Мурманской области от 11.06.2010 № 266-ПП «О совершенствовании учета государственного имущества Мурманской области».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</w:t>
      </w:r>
      <w:r>
        <w:rPr>
          <w:rFonts w:ascii="Times New Roman" w:hAnsi="Times New Roman"/>
          <w:b/>
          <w:sz w:val="28"/>
          <w:szCs w:val="28"/>
        </w:rPr>
        <w:t xml:space="preserve">. Заключительные положения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Автономные учреждения самостоятельно осуществляют списание недвижимого имущества, приобретенного за счет собственных средств, и движимого имущества, не относящегося к особо ценному движимому имуществу</w:t>
      </w:r>
      <w:r>
        <w:rPr>
          <w:rFonts w:ascii="Times New Roman" w:hAnsi="Times New Roman"/>
          <w:sz w:val="28"/>
          <w:szCs w:val="28"/>
        </w:rPr>
        <w:t xml:space="preserve"> (иного движимого)</w:t>
      </w:r>
      <w:r>
        <w:rPr>
          <w:rFonts w:ascii="Times New Roman" w:hAnsi="Times New Roman"/>
          <w:sz w:val="28"/>
          <w:szCs w:val="28"/>
        </w:rPr>
        <w:t xml:space="preserve">, находящегося на праве оперативного управления, а также имущества, </w:t>
      </w:r>
      <w:r>
        <w:rPr>
          <w:rFonts w:ascii="Times New Roman" w:hAnsi="Times New Roman"/>
          <w:sz w:val="28"/>
          <w:szCs w:val="28"/>
        </w:rPr>
        <w:t xml:space="preserve">принятого к забалансовому учету.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списания такого имущества </w:t>
      </w:r>
      <w:r>
        <w:rPr>
          <w:rFonts w:ascii="Times New Roman" w:hAnsi="Times New Roman"/>
          <w:sz w:val="28"/>
          <w:szCs w:val="28"/>
        </w:rPr>
        <w:t xml:space="preserve">в Учреждении </w:t>
      </w:r>
      <w:r>
        <w:rPr>
          <w:rFonts w:ascii="Times New Roman" w:hAnsi="Times New Roman"/>
          <w:sz w:val="28"/>
          <w:szCs w:val="28"/>
        </w:rPr>
        <w:t xml:space="preserve">устанавливается аналогичны</w:t>
      </w:r>
      <w:r>
        <w:rPr>
          <w:rFonts w:ascii="Times New Roman" w:hAnsi="Times New Roman"/>
          <w:sz w:val="28"/>
          <w:szCs w:val="28"/>
        </w:rPr>
        <w:t xml:space="preserve">м порядку списания</w:t>
      </w:r>
      <w:r>
        <w:rPr>
          <w:rFonts w:ascii="Times New Roman" w:hAnsi="Times New Roman"/>
          <w:sz w:val="28"/>
          <w:szCs w:val="28"/>
        </w:rPr>
        <w:t xml:space="preserve"> государственного имущества.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.2. Пор</w:t>
      </w:r>
      <w:r>
        <w:rPr>
          <w:rFonts w:ascii="Times New Roman" w:hAnsi="Times New Roman"/>
          <w:sz w:val="28"/>
          <w:szCs w:val="28"/>
        </w:rPr>
        <w:t xml:space="preserve">ядок продажи списанного государственного имущества осуществляется в соответствии с Постановлениями Правительства Мурманской области от 12.03.2012 № 72-ПП «Об утверждении Положения о порядке оформления продажи государственного имущества Мурманской области».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649"/>
        <w:ind w:left="360" w:firstLine="66"/>
        <w:jc w:val="righ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</w:t>
      </w:r>
      <w:r>
        <w:rPr>
          <w:rFonts w:ascii="Times New Roman" w:hAnsi="Times New Roman"/>
          <w:sz w:val="28"/>
          <w:szCs w:val="28"/>
        </w:rPr>
        <w:t xml:space="preserve">иложение № 10 (продолжение)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649"/>
        <w:ind w:left="360" w:firstLine="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комиссию по поступлению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выбытию активов ГАПОУ МО «КИК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 (Ф.И.О.)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МОЛ: _________</w:t>
      </w:r>
      <w:r>
        <w:rPr>
          <w:rFonts w:ascii="Times New Roman" w:hAnsi="Times New Roman"/>
          <w:sz w:val="28"/>
          <w:szCs w:val="28"/>
        </w:rPr>
        <w:t xml:space="preserve">____________</w:t>
      </w:r>
      <w:r>
        <w:rPr>
          <w:rFonts w:ascii="Times New Roman" w:hAnsi="Times New Roman"/>
          <w:sz w:val="28"/>
          <w:szCs w:val="28"/>
        </w:rPr>
        <w:t xml:space="preserve">_____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(должность)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Заявление.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Прошу рассмотреть вопрос списания объектов НФА, в связи с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4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36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Инвентарный номер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36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Кол-во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4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6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</w:p>
        </w:tc>
        <w:tc>
          <w:tcPr>
            <w:tcW w:w="2336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36" w:type="dxa"/>
            <w:vAlign w:val="top"/>
            <w:textDirection w:val="lrTb"/>
            <w:noWrap w:val="false"/>
          </w:tcPr>
          <w:p>
            <w:pPr>
              <w:pStyle w:val="6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6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                                                                                                    Подпись</w:t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9"/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49"/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6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50" w:hanging="390"/>
        <w:tabs>
          <w:tab w:val="num" w:pos="75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216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6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9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3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6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"/>
  </w:num>
  <w:num w:numId="5">
    <w:abstractNumId w:val="7"/>
  </w:num>
  <w:num w:numId="6">
    <w:abstractNumId w:val="10"/>
  </w:num>
  <w:num w:numId="7">
    <w:abstractNumId w:val="2"/>
  </w:num>
  <w:num w:numId="8">
    <w:abstractNumId w:val="8"/>
  </w:num>
  <w:num w:numId="9">
    <w:abstractNumId w:val="5"/>
  </w:num>
  <w:num w:numId="10">
    <w:abstractNumId w:val="15"/>
  </w:num>
  <w:num w:numId="11">
    <w:abstractNumId w:val="12"/>
  </w:num>
  <w:num w:numId="12">
    <w:abstractNumId w:val="13"/>
  </w:num>
  <w:num w:numId="13">
    <w:abstractNumId w:val="6"/>
  </w:num>
  <w:num w:numId="14">
    <w:abstractNumId w:val="3"/>
  </w:num>
  <w:num w:numId="15">
    <w:abstractNumId w:val="4"/>
  </w:num>
  <w:num w:numId="16">
    <w:abstractNumId w:val="11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9"/>
    <w:next w:val="6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9"/>
    <w:next w:val="6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9"/>
    <w:next w:val="6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9"/>
    <w:next w:val="6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9"/>
    <w:next w:val="6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9"/>
    <w:next w:val="6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9"/>
    <w:next w:val="6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9"/>
    <w:next w:val="6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9"/>
    <w:next w:val="6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4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9"/>
    <w:next w:val="6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9"/>
    <w:next w:val="6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9"/>
    <w:next w:val="6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9"/>
    <w:next w:val="6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9"/>
    <w:next w:val="6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9"/>
    <w:next w:val="6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9"/>
    <w:next w:val="6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9"/>
    <w:next w:val="6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9"/>
    <w:next w:val="6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9"/>
    <w:next w:val="6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9"/>
    <w:next w:val="6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9"/>
    <w:next w:val="6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9"/>
    <w:next w:val="6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9"/>
    <w:next w:val="6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9"/>
    <w:next w:val="649"/>
    <w:uiPriority w:val="99"/>
    <w:unhideWhenUsed/>
    <w:pPr>
      <w:spacing w:after="0" w:afterAutospacing="0"/>
    </w:pPr>
  </w:style>
  <w:style w:type="paragraph" w:styleId="649" w:default="1">
    <w:name w:val="Normal"/>
    <w:next w:val="649"/>
    <w:link w:val="649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650">
    <w:name w:val="Основной шрифт абзаца"/>
    <w:next w:val="650"/>
    <w:link w:val="649"/>
    <w:uiPriority w:val="1"/>
    <w:semiHidden/>
    <w:unhideWhenUsed/>
  </w:style>
  <w:style w:type="table" w:styleId="651">
    <w:name w:val="Обычная таблица"/>
    <w:next w:val="651"/>
    <w:link w:val="649"/>
    <w:uiPriority w:val="99"/>
    <w:semiHidden/>
    <w:unhideWhenUsed/>
    <w:qFormat/>
    <w:tblPr/>
  </w:style>
  <w:style w:type="numbering" w:styleId="652">
    <w:name w:val="Нет списка"/>
    <w:next w:val="652"/>
    <w:link w:val="649"/>
    <w:uiPriority w:val="99"/>
    <w:semiHidden/>
    <w:unhideWhenUsed/>
  </w:style>
  <w:style w:type="table" w:styleId="653">
    <w:name w:val="Сетка таблицы"/>
    <w:basedOn w:val="651"/>
    <w:next w:val="653"/>
    <w:link w:val="649"/>
    <w:uiPriority w:val="59"/>
    <w:pPr>
      <w:spacing w:after="0" w:line="240" w:lineRule="auto"/>
    </w:pPr>
    <w:tblPr/>
  </w:style>
  <w:style w:type="paragraph" w:styleId="654">
    <w:name w:val="Абзац списка"/>
    <w:basedOn w:val="649"/>
    <w:next w:val="654"/>
    <w:link w:val="649"/>
    <w:uiPriority w:val="34"/>
    <w:qFormat/>
    <w:pPr>
      <w:contextualSpacing/>
      <w:ind w:left="720"/>
    </w:pPr>
  </w:style>
  <w:style w:type="paragraph" w:styleId="655">
    <w:name w:val="Основной текст"/>
    <w:basedOn w:val="649"/>
    <w:next w:val="655"/>
    <w:link w:val="656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656">
    <w:name w:val="Основной текст Знак"/>
    <w:next w:val="656"/>
    <w:link w:val="655"/>
    <w:rPr>
      <w:rFonts w:ascii="Times New Roman" w:hAnsi="Times New Roman"/>
      <w:sz w:val="24"/>
      <w:szCs w:val="24"/>
    </w:rPr>
  </w:style>
  <w:style w:type="numbering" w:styleId="657">
    <w:name w:val="1 / 1.1 / 1.1.1"/>
    <w:basedOn w:val="652"/>
    <w:next w:val="657"/>
    <w:link w:val="649"/>
    <w:pPr>
      <w:numPr>
        <w:ilvl w:val="0"/>
        <w:numId w:val="7"/>
      </w:numPr>
    </w:pPr>
  </w:style>
  <w:style w:type="paragraph" w:styleId="658">
    <w:name w:val="Текст выноски"/>
    <w:basedOn w:val="649"/>
    <w:next w:val="658"/>
    <w:link w:val="65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59">
    <w:name w:val="Текст выноски Знак"/>
    <w:next w:val="659"/>
    <w:link w:val="658"/>
    <w:uiPriority w:val="99"/>
    <w:semiHidden/>
    <w:rPr>
      <w:rFonts w:ascii="Segoe UI" w:hAnsi="Segoe UI" w:cs="Segoe UI"/>
      <w:sz w:val="18"/>
      <w:szCs w:val="18"/>
    </w:rPr>
  </w:style>
  <w:style w:type="character" w:styleId="1366" w:default="1">
    <w:name w:val="Default Paragraph Font"/>
    <w:uiPriority w:val="1"/>
    <w:semiHidden/>
    <w:unhideWhenUsed/>
  </w:style>
  <w:style w:type="numbering" w:styleId="1367" w:default="1">
    <w:name w:val="No List"/>
    <w:uiPriority w:val="99"/>
    <w:semiHidden/>
    <w:unhideWhenUsed/>
  </w:style>
  <w:style w:type="table" w:styleId="13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sfinansy.ru/group?groupId=261&amp;locale=ru&amp;date=2025-12-01&amp;isStatic=false&amp;pubAlias=mcfr-gf" TargetMode="External"/><Relationship Id="rId10" Type="http://schemas.openxmlformats.org/officeDocument/2006/relationships/hyperlink" Target="https://gosfinansy.ru/group?groupId=21634950&amp;locale=ru&amp;date=2025-12-01&amp;isStatic=false&amp;pubAlias=mcfr-gf" TargetMode="External"/><Relationship Id="rId11" Type="http://schemas.openxmlformats.org/officeDocument/2006/relationships/hyperlink" Target="https://gosfinansy.ru/group?groupId=84649983&amp;locale=ru&amp;date=2025-12-01&amp;isStatic=false&amp;pubAlias=mcfr-gf" TargetMode="External"/><Relationship Id="rId12" Type="http://schemas.openxmlformats.org/officeDocument/2006/relationships/hyperlink" Target="https://gosfinansy.ru/group?groupId=84649983&amp;locale=ru&amp;date=2025-12-01&amp;isStatic=false&amp;pubAlias=mcfr-gf" TargetMode="External"/><Relationship Id="rId13" Type="http://schemas.openxmlformats.org/officeDocument/2006/relationships/hyperlink" Target="https://gosfinansy.ru/group?groupId=84649983&amp;locale=ru&amp;date=2025-12-01&amp;isStatic=false&amp;pubAlias=mcfr-gf" TargetMode="External"/><Relationship Id="rId14" Type="http://schemas.openxmlformats.org/officeDocument/2006/relationships/hyperlink" Target="https://gosfinansy.ru/group?groupId=89950238&amp;locale=ru&amp;date=2025-12-01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Reanimator Extreme Edition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Admin</dc:creator>
  <cp:revision>5</cp:revision>
  <dcterms:created xsi:type="dcterms:W3CDTF">2023-06-21T13:25:00Z</dcterms:created>
  <dcterms:modified xsi:type="dcterms:W3CDTF">2026-03-30T11:37:22Z</dcterms:modified>
  <cp:version>1048576</cp:version>
</cp:coreProperties>
</file>